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Default="00040C3C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</w:p>
    <w:p w14:paraId="04892A1D" w14:textId="56EE87C2" w:rsidR="00040C3C" w:rsidRPr="00D310EE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noProof/>
          <w:sz w:val="24"/>
          <w:szCs w:val="24"/>
        </w:rPr>
        <w:t xml:space="preserve">FECHA: </w:t>
      </w:r>
      <w:r w:rsidR="00B96A31">
        <w:rPr>
          <w:b/>
          <w:noProof/>
          <w:color w:val="000099"/>
          <w:sz w:val="24"/>
          <w:szCs w:val="24"/>
        </w:rPr>
        <w:t>1</w:t>
      </w:r>
      <w:r w:rsidR="002851A2">
        <w:rPr>
          <w:b/>
          <w:noProof/>
          <w:color w:val="000099"/>
          <w:sz w:val="24"/>
          <w:szCs w:val="24"/>
        </w:rPr>
        <w:t>1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2851A2">
        <w:rPr>
          <w:b/>
          <w:noProof/>
          <w:color w:val="000099"/>
          <w:sz w:val="24"/>
          <w:szCs w:val="24"/>
        </w:rPr>
        <w:t>Setiembre</w:t>
      </w:r>
      <w:r w:rsidR="00733A56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4D5584" w:rsidRPr="00D310EE">
        <w:rPr>
          <w:noProof/>
          <w:sz w:val="24"/>
          <w:szCs w:val="24"/>
        </w:rPr>
        <w:t>14:</w:t>
      </w:r>
      <w:r w:rsidR="002B11BE">
        <w:rPr>
          <w:noProof/>
          <w:sz w:val="24"/>
          <w:szCs w:val="24"/>
        </w:rPr>
        <w:t>2</w:t>
      </w:r>
      <w:r w:rsidR="002851A2">
        <w:rPr>
          <w:noProof/>
          <w:sz w:val="24"/>
          <w:szCs w:val="24"/>
        </w:rPr>
        <w:t>0</w:t>
      </w:r>
    </w:p>
    <w:p w14:paraId="1D213B6E" w14:textId="22C9B7BE" w:rsidR="00B96CB2" w:rsidRDefault="00B96CB2" w:rsidP="008F2E63">
      <w:pPr>
        <w:spacing w:before="120"/>
        <w:jc w:val="left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="00FB5197">
        <w:rPr>
          <w:b/>
          <w:noProof/>
          <w:sz w:val="24"/>
          <w:szCs w:val="24"/>
        </w:rPr>
        <w:t>Raúl Crudele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1608"/>
      </w:tblGrid>
      <w:tr w:rsidR="001120B1" w:rsidRPr="001120B1" w14:paraId="707490FB" w14:textId="77777777" w:rsidTr="00CD5B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2851A2" w:rsidRPr="007A57A6" w14:paraId="0C255582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DEF9" w14:textId="3EF216A1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Andres</w:t>
            </w:r>
            <w:proofErr w:type="spellEnd"/>
            <w:r>
              <w:rPr>
                <w:color w:val="000000"/>
              </w:rPr>
              <w:t xml:space="preserve"> Barbieri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EC04" w14:textId="047CC5A0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CESPI</w:t>
            </w:r>
          </w:p>
        </w:tc>
      </w:tr>
      <w:tr w:rsidR="002851A2" w:rsidRPr="007A57A6" w14:paraId="2B73F829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BF52" w14:textId="04AC8CBB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Ernesto </w:t>
            </w:r>
            <w:proofErr w:type="spellStart"/>
            <w:r>
              <w:rPr>
                <w:color w:val="000000"/>
              </w:rPr>
              <w:t>Golomb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662F" w14:textId="044290B4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CABASE</w:t>
            </w:r>
          </w:p>
        </w:tc>
      </w:tr>
      <w:tr w:rsidR="002851A2" w:rsidRPr="007A57A6" w14:paraId="2673E159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BB61" w14:textId="49761987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José Luis </w:t>
            </w:r>
            <w:proofErr w:type="spellStart"/>
            <w:r>
              <w:rPr>
                <w:color w:val="000000"/>
              </w:rPr>
              <w:t>Duette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3BD4" w14:textId="6287E9B9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Silica</w:t>
            </w:r>
          </w:p>
        </w:tc>
      </w:tr>
      <w:tr w:rsidR="002851A2" w:rsidRPr="007A57A6" w14:paraId="1366E1AC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E93" w14:textId="0B97DC2B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Pedro </w:t>
            </w:r>
            <w:proofErr w:type="spellStart"/>
            <w:r>
              <w:rPr>
                <w:color w:val="000000"/>
              </w:rPr>
              <w:t>Brisson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512B" w14:textId="27105C64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CESPI</w:t>
            </w:r>
          </w:p>
        </w:tc>
      </w:tr>
      <w:tr w:rsidR="002851A2" w:rsidRPr="007A57A6" w14:paraId="38E8ABAE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5275" w14:textId="758AED66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Raul Crudele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11AC" w14:textId="54F59316" w:rsidR="002851A2" w:rsidRPr="00733A5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Sista</w:t>
            </w:r>
          </w:p>
        </w:tc>
      </w:tr>
      <w:tr w:rsidR="002851A2" w:rsidRPr="007A57A6" w14:paraId="58D73735" w14:textId="77777777" w:rsidTr="00BF327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E606" w14:textId="04ABDB62" w:rsidR="002851A2" w:rsidRPr="007A57A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Rómulo de La Fuente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325E" w14:textId="74DFC01C" w:rsidR="002851A2" w:rsidRPr="007A57A6" w:rsidRDefault="002851A2" w:rsidP="002851A2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Metrotel</w:t>
            </w:r>
            <w:proofErr w:type="spellEnd"/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p w14:paraId="1A69753A" w14:textId="77777777" w:rsidR="002851A2" w:rsidRDefault="00AB237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45335606" w:history="1">
        <w:r w:rsidR="002851A2" w:rsidRPr="00B73205">
          <w:rPr>
            <w:rStyle w:val="Hipervnculo"/>
            <w:rFonts w:cs="Arial"/>
            <w:noProof/>
          </w:rPr>
          <w:t>1)</w:t>
        </w:r>
        <w:r w:rsidR="002851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851A2" w:rsidRPr="00B73205">
          <w:rPr>
            <w:rStyle w:val="Hipervnculo"/>
            <w:rFonts w:cs="Arial"/>
            <w:noProof/>
          </w:rPr>
          <w:t>MINUTA ANTERIOR</w:t>
        </w:r>
        <w:r w:rsidR="002851A2">
          <w:rPr>
            <w:noProof/>
            <w:webHidden/>
          </w:rPr>
          <w:tab/>
        </w:r>
        <w:r w:rsidR="002851A2">
          <w:rPr>
            <w:noProof/>
            <w:webHidden/>
          </w:rPr>
          <w:fldChar w:fldCharType="begin"/>
        </w:r>
        <w:r w:rsidR="002851A2">
          <w:rPr>
            <w:noProof/>
            <w:webHidden/>
          </w:rPr>
          <w:instrText xml:space="preserve"> PAGEREF _Toc145335606 \h </w:instrText>
        </w:r>
        <w:r w:rsidR="002851A2">
          <w:rPr>
            <w:noProof/>
            <w:webHidden/>
          </w:rPr>
        </w:r>
        <w:r w:rsidR="002851A2">
          <w:rPr>
            <w:noProof/>
            <w:webHidden/>
          </w:rPr>
          <w:fldChar w:fldCharType="separate"/>
        </w:r>
        <w:r w:rsidR="002851A2">
          <w:rPr>
            <w:noProof/>
            <w:webHidden/>
          </w:rPr>
          <w:t>2</w:t>
        </w:r>
        <w:r w:rsidR="002851A2">
          <w:rPr>
            <w:noProof/>
            <w:webHidden/>
          </w:rPr>
          <w:fldChar w:fldCharType="end"/>
        </w:r>
      </w:hyperlink>
    </w:p>
    <w:p w14:paraId="5AC2FA60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07" w:history="1">
        <w:r w:rsidRPr="00B73205">
          <w:rPr>
            <w:rStyle w:val="Hipervnculo"/>
            <w:rFonts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0C1995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08" w:history="1">
        <w:r w:rsidRPr="00B73205">
          <w:rPr>
            <w:rStyle w:val="Hipervnculo"/>
            <w:rFonts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3E2167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09" w:history="1">
        <w:r w:rsidRPr="00B73205">
          <w:rPr>
            <w:rStyle w:val="Hipervnculo"/>
            <w:rFonts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942FB4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10" w:history="1">
        <w:r w:rsidRPr="00B73205">
          <w:rPr>
            <w:rStyle w:val="Hipervnculo"/>
            <w:rFonts w:cs="Arial"/>
            <w:noProof/>
          </w:rPr>
          <w:t>5)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F6EA93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11" w:history="1">
        <w:r w:rsidRPr="00B73205">
          <w:rPr>
            <w:rStyle w:val="Hipervnculo"/>
            <w:rFonts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91EF9B" w14:textId="77777777" w:rsidR="002851A2" w:rsidRDefault="002851A2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335612" w:history="1">
        <w:r w:rsidRPr="00B73205">
          <w:rPr>
            <w:rStyle w:val="Hipervnculo"/>
            <w:rFonts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73205">
          <w:rPr>
            <w:rStyle w:val="Hipervnculo"/>
            <w:rFonts w:cs="Arial"/>
            <w:noProof/>
          </w:rPr>
          <w:t>PRÓXIMAS REUNIONES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_Toc145335612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r w:rsidRPr="004465F7">
        <w:rPr>
          <w:lang w:val="es-ES"/>
        </w:rPr>
        <w:br w:type="page"/>
      </w:r>
      <w:bookmarkStart w:id="0" w:name="_Toc145335606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0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2B23BB41" w:rsidR="006368AF" w:rsidRDefault="00B73EC8" w:rsidP="00B26769">
      <w:pPr>
        <w:rPr>
          <w:color w:val="0000CC"/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="00487E79">
        <w:rPr>
          <w:sz w:val="24"/>
          <w:szCs w:val="24"/>
        </w:rPr>
        <w:t xml:space="preserve">fue enviada por correo </w:t>
      </w:r>
      <w:r w:rsidR="004D5294" w:rsidRPr="00E33B48">
        <w:rPr>
          <w:sz w:val="24"/>
          <w:szCs w:val="24"/>
        </w:rPr>
        <w:t xml:space="preserve">el </w:t>
      </w:r>
      <w:r w:rsidR="00997837">
        <w:rPr>
          <w:b/>
          <w:bCs/>
          <w:color w:val="0000CC"/>
          <w:sz w:val="24"/>
          <w:szCs w:val="24"/>
        </w:rPr>
        <w:t>1</w:t>
      </w:r>
      <w:r w:rsidR="00487E79">
        <w:rPr>
          <w:b/>
          <w:bCs/>
          <w:color w:val="0000CC"/>
          <w:sz w:val="24"/>
          <w:szCs w:val="24"/>
        </w:rPr>
        <w:t>4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08680C">
        <w:rPr>
          <w:b/>
          <w:bCs/>
          <w:color w:val="0000CC"/>
          <w:sz w:val="24"/>
          <w:szCs w:val="24"/>
        </w:rPr>
        <w:t>0</w:t>
      </w:r>
      <w:r w:rsidR="00487E79">
        <w:rPr>
          <w:b/>
          <w:bCs/>
          <w:color w:val="0000CC"/>
          <w:sz w:val="24"/>
          <w:szCs w:val="24"/>
        </w:rPr>
        <w:t>8</w:t>
      </w:r>
      <w:r w:rsidR="00F724FF" w:rsidRPr="00F724FF">
        <w:rPr>
          <w:b/>
          <w:bCs/>
          <w:color w:val="0000CC"/>
          <w:sz w:val="24"/>
          <w:szCs w:val="24"/>
        </w:rPr>
        <w:t>/202</w:t>
      </w:r>
      <w:r w:rsidR="0008680C">
        <w:rPr>
          <w:b/>
          <w:bCs/>
          <w:color w:val="0000CC"/>
          <w:sz w:val="24"/>
          <w:szCs w:val="24"/>
        </w:rPr>
        <w:t>3</w:t>
      </w:r>
      <w:r w:rsidR="004D5294" w:rsidRPr="00E33B48">
        <w:rPr>
          <w:sz w:val="24"/>
          <w:szCs w:val="24"/>
        </w:rPr>
        <w:t xml:space="preserve">, no 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1" w:name="_Toc145335607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7CD49B30" w14:textId="721F3BF2" w:rsidR="00FC6E5E" w:rsidRPr="00254F86" w:rsidRDefault="00254F86" w:rsidP="00FC6E5E">
      <w:pPr>
        <w:rPr>
          <w:sz w:val="24"/>
          <w:szCs w:val="24"/>
        </w:rPr>
      </w:pPr>
      <w:r w:rsidRPr="00254F86">
        <w:rPr>
          <w:sz w:val="24"/>
          <w:szCs w:val="24"/>
        </w:rPr>
        <w:t>En esta ocasión no hay informe de Administración. Se informará tan pronto como sea posible</w:t>
      </w:r>
      <w:r w:rsidR="003C6094">
        <w:rPr>
          <w:sz w:val="24"/>
          <w:szCs w:val="24"/>
        </w:rPr>
        <w:t>.</w:t>
      </w:r>
    </w:p>
    <w:p w14:paraId="372F05CB" w14:textId="0BA5D492" w:rsidR="0009615E" w:rsidRDefault="00AD7E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45335608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45335609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22FA7FE8" w14:textId="2AD8CD45" w:rsidR="00254F86" w:rsidRDefault="003C6094" w:rsidP="0020261A">
      <w:pPr>
        <w:rPr>
          <w:sz w:val="24"/>
          <w:szCs w:val="24"/>
        </w:rPr>
      </w:pPr>
      <w:r>
        <w:rPr>
          <w:sz w:val="24"/>
          <w:szCs w:val="24"/>
        </w:rPr>
        <w:t xml:space="preserve">Ernesto informa que </w:t>
      </w:r>
      <w:r>
        <w:rPr>
          <w:sz w:val="24"/>
          <w:szCs w:val="24"/>
        </w:rPr>
        <w:t xml:space="preserve">se adquirió el </w:t>
      </w:r>
      <w:r w:rsidR="00D018CC" w:rsidRPr="00752797">
        <w:rPr>
          <w:sz w:val="24"/>
          <w:szCs w:val="24"/>
        </w:rPr>
        <w:t xml:space="preserve">switch Huawei </w:t>
      </w:r>
      <w:r w:rsidR="00733A56" w:rsidRPr="00752797">
        <w:rPr>
          <w:sz w:val="24"/>
          <w:szCs w:val="24"/>
        </w:rPr>
        <w:t>6730</w:t>
      </w:r>
      <w:r w:rsidR="00D018CC" w:rsidRPr="00752797">
        <w:rPr>
          <w:sz w:val="24"/>
          <w:szCs w:val="24"/>
        </w:rPr>
        <w:t xml:space="preserve"> de 48 puertos con la correspondiente licencia para activar puertos de 100 Gb</w:t>
      </w:r>
      <w:r>
        <w:rPr>
          <w:sz w:val="24"/>
          <w:szCs w:val="24"/>
        </w:rPr>
        <w:t>. El mismo ya se encuentra disponible, en la semana será retirado</w:t>
      </w:r>
      <w:r w:rsidR="002851A2">
        <w:rPr>
          <w:sz w:val="24"/>
          <w:szCs w:val="24"/>
        </w:rPr>
        <w:t>, previa coordinación de Andrés Barbieri con Ruteo Central (</w:t>
      </w:r>
      <w:proofErr w:type="spellStart"/>
      <w:r w:rsidR="002851A2">
        <w:rPr>
          <w:sz w:val="24"/>
          <w:szCs w:val="24"/>
        </w:rPr>
        <w:t>Pugawko</w:t>
      </w:r>
      <w:proofErr w:type="spellEnd"/>
      <w:r w:rsidR="002851A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E9A5BD4" w14:textId="452E2F0E" w:rsidR="00D018CC" w:rsidRPr="00752797" w:rsidRDefault="00D018CC" w:rsidP="0020261A">
      <w:pPr>
        <w:rPr>
          <w:sz w:val="24"/>
          <w:szCs w:val="24"/>
        </w:rPr>
      </w:pPr>
      <w:r w:rsidRPr="00752797">
        <w:rPr>
          <w:sz w:val="24"/>
          <w:szCs w:val="24"/>
        </w:rPr>
        <w:t>Con posterioridad a la puesta en marcha</w:t>
      </w:r>
      <w:r w:rsidR="00752797" w:rsidRPr="00752797">
        <w:rPr>
          <w:sz w:val="24"/>
          <w:szCs w:val="24"/>
        </w:rPr>
        <w:t xml:space="preserve"> dicho equipo</w:t>
      </w:r>
      <w:r w:rsidRPr="00752797">
        <w:rPr>
          <w:sz w:val="24"/>
          <w:szCs w:val="24"/>
        </w:rPr>
        <w:t>, se pondrá a disposici</w:t>
      </w:r>
      <w:r w:rsidR="00752797" w:rsidRPr="00752797">
        <w:rPr>
          <w:sz w:val="24"/>
          <w:szCs w:val="24"/>
        </w:rPr>
        <w:t xml:space="preserve">ón de la comunidad de </w:t>
      </w:r>
      <w:proofErr w:type="spellStart"/>
      <w:r w:rsidR="00752797" w:rsidRPr="00752797">
        <w:rPr>
          <w:sz w:val="24"/>
          <w:szCs w:val="24"/>
        </w:rPr>
        <w:t>IXPs</w:t>
      </w:r>
      <w:proofErr w:type="spellEnd"/>
      <w:r w:rsidR="00752797" w:rsidRPr="00752797">
        <w:rPr>
          <w:sz w:val="24"/>
          <w:szCs w:val="24"/>
        </w:rPr>
        <w:t>, para el que lo quiera adquirir</w:t>
      </w:r>
      <w:r w:rsidR="003C6094">
        <w:rPr>
          <w:sz w:val="24"/>
          <w:szCs w:val="24"/>
        </w:rPr>
        <w:t>, el switch actualmente en uso</w:t>
      </w:r>
      <w:r w:rsidR="00752797" w:rsidRPr="00752797">
        <w:rPr>
          <w:sz w:val="24"/>
          <w:szCs w:val="24"/>
        </w:rPr>
        <w:t>.</w:t>
      </w:r>
    </w:p>
    <w:p w14:paraId="0C1C823E" w14:textId="4F5E8AAC" w:rsidR="00A71C73" w:rsidRPr="000F1A27" w:rsidRDefault="00A71C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45335610"/>
      <w:r>
        <w:rPr>
          <w:rFonts w:ascii="Arial" w:hAnsi="Arial" w:cs="Arial"/>
          <w:noProof/>
          <w:sz w:val="24"/>
          <w:szCs w:val="24"/>
        </w:rPr>
        <w:t>VARIOS</w:t>
      </w:r>
      <w:bookmarkEnd w:id="4"/>
    </w:p>
    <w:p w14:paraId="216C3330" w14:textId="1CA8AFBC" w:rsidR="003C6094" w:rsidRDefault="002851A2" w:rsidP="00733A56">
      <w:pPr>
        <w:rPr>
          <w:sz w:val="24"/>
          <w:szCs w:val="24"/>
        </w:rPr>
      </w:pPr>
      <w:r>
        <w:rPr>
          <w:sz w:val="24"/>
          <w:szCs w:val="24"/>
        </w:rPr>
        <w:t>El pasado viernes 08/09/2023</w:t>
      </w:r>
      <w:r w:rsidR="003C6094">
        <w:rPr>
          <w:sz w:val="24"/>
          <w:szCs w:val="24"/>
        </w:rPr>
        <w:t>, Julio Policarpo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CABASE</w:t>
      </w:r>
      <w:r w:rsidR="003C6094">
        <w:rPr>
          <w:sz w:val="24"/>
          <w:szCs w:val="24"/>
        </w:rPr>
        <w:t xml:space="preserve"> envió un comunicado </w:t>
      </w:r>
      <w:r w:rsidR="002F72D5">
        <w:rPr>
          <w:sz w:val="24"/>
          <w:szCs w:val="24"/>
        </w:rPr>
        <w:t xml:space="preserve">por mail </w:t>
      </w:r>
      <w:r w:rsidR="003C6094">
        <w:rPr>
          <w:sz w:val="24"/>
          <w:szCs w:val="24"/>
        </w:rPr>
        <w:t xml:space="preserve">a todos los </w:t>
      </w:r>
      <w:r w:rsidR="002F72D5">
        <w:rPr>
          <w:sz w:val="24"/>
          <w:szCs w:val="24"/>
        </w:rPr>
        <w:t>socios</w:t>
      </w:r>
      <w:r w:rsidR="003C6094">
        <w:rPr>
          <w:sz w:val="24"/>
          <w:szCs w:val="24"/>
        </w:rPr>
        <w:t xml:space="preserve">, informando que se han </w:t>
      </w:r>
      <w:r w:rsidR="003C6094" w:rsidRPr="003C6094">
        <w:rPr>
          <w:sz w:val="24"/>
          <w:szCs w:val="24"/>
        </w:rPr>
        <w:t>instalado nuevos cach</w:t>
      </w:r>
      <w:r w:rsidR="003C6094">
        <w:rPr>
          <w:sz w:val="24"/>
          <w:szCs w:val="24"/>
        </w:rPr>
        <w:t>é</w:t>
      </w:r>
      <w:r w:rsidR="003C6094" w:rsidRPr="003C6094">
        <w:rPr>
          <w:sz w:val="24"/>
          <w:szCs w:val="24"/>
        </w:rPr>
        <w:t xml:space="preserve">s de </w:t>
      </w:r>
      <w:r w:rsidR="002F72D5" w:rsidRPr="003C6094">
        <w:rPr>
          <w:sz w:val="24"/>
          <w:szCs w:val="24"/>
        </w:rPr>
        <w:t>NETFLIX</w:t>
      </w:r>
      <w:r w:rsidR="003C6094">
        <w:rPr>
          <w:sz w:val="24"/>
          <w:szCs w:val="24"/>
        </w:rPr>
        <w:t>, con instrucciones para poder tomar tráfico</w:t>
      </w:r>
      <w:r w:rsidR="003C6094" w:rsidRPr="003C60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851A2">
        <w:rPr>
          <w:b/>
          <w:color w:val="0000CC"/>
          <w:sz w:val="24"/>
          <w:szCs w:val="24"/>
        </w:rPr>
        <w:t xml:space="preserve">SE RECOMIENDA </w:t>
      </w:r>
      <w:r w:rsidR="002F72D5">
        <w:rPr>
          <w:b/>
          <w:color w:val="0000CC"/>
          <w:sz w:val="24"/>
          <w:szCs w:val="24"/>
        </w:rPr>
        <w:t>ADOPTAR</w:t>
      </w:r>
      <w:r w:rsidRPr="002851A2">
        <w:rPr>
          <w:b/>
          <w:color w:val="0000CC"/>
          <w:sz w:val="24"/>
          <w:szCs w:val="24"/>
        </w:rPr>
        <w:t xml:space="preserve"> LAS ACCIONES CORRESPONDIENTES</w:t>
      </w:r>
      <w:r w:rsidR="002F72D5">
        <w:rPr>
          <w:b/>
          <w:color w:val="0000CC"/>
          <w:sz w:val="24"/>
          <w:szCs w:val="24"/>
        </w:rPr>
        <w:t>.</w:t>
      </w:r>
      <w:bookmarkStart w:id="5" w:name="_GoBack"/>
      <w:bookmarkEnd w:id="5"/>
    </w:p>
    <w:p w14:paraId="3EC2784E" w14:textId="0368D10A" w:rsidR="00CF4556" w:rsidRPr="000F1A27" w:rsidRDefault="00E842BA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45335611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3F200E90" w:rsidR="00CF4556" w:rsidRPr="00F16940" w:rsidRDefault="00CF4556" w:rsidP="00A520FE">
      <w:pPr>
        <w:jc w:val="left"/>
        <w:rPr>
          <w:noProof/>
          <w:color w:val="000000" w:themeColor="text1"/>
          <w:sz w:val="24"/>
          <w:szCs w:val="24"/>
        </w:rPr>
      </w:pPr>
      <w:r w:rsidRPr="00F16940">
        <w:rPr>
          <w:noProof/>
          <w:color w:val="000000" w:themeColor="text1"/>
          <w:sz w:val="24"/>
          <w:szCs w:val="24"/>
        </w:rPr>
        <w:t xml:space="preserve">FECHA DE PRÓXIMA REUNIÓN: </w:t>
      </w:r>
      <w:r w:rsidR="00E309EA" w:rsidRPr="002F72D5">
        <w:rPr>
          <w:noProof/>
          <w:color w:val="0000CC"/>
          <w:sz w:val="24"/>
          <w:szCs w:val="24"/>
        </w:rPr>
        <w:t>09</w:t>
      </w:r>
      <w:r w:rsidR="00F132FB" w:rsidRPr="002F72D5">
        <w:rPr>
          <w:noProof/>
          <w:color w:val="0000CC"/>
          <w:sz w:val="24"/>
          <w:szCs w:val="24"/>
        </w:rPr>
        <w:t xml:space="preserve"> de </w:t>
      </w:r>
      <w:r w:rsidR="00E309EA" w:rsidRPr="002F72D5">
        <w:rPr>
          <w:noProof/>
          <w:color w:val="0000CC"/>
          <w:sz w:val="24"/>
          <w:szCs w:val="24"/>
        </w:rPr>
        <w:t>octu</w:t>
      </w:r>
      <w:r w:rsidR="00F132FB" w:rsidRPr="002F72D5">
        <w:rPr>
          <w:noProof/>
          <w:color w:val="0000CC"/>
          <w:sz w:val="24"/>
          <w:szCs w:val="24"/>
        </w:rPr>
        <w:t>bre</w:t>
      </w:r>
      <w:r w:rsidR="00F16940" w:rsidRPr="002F72D5">
        <w:rPr>
          <w:noProof/>
          <w:color w:val="0000CC"/>
          <w:sz w:val="24"/>
          <w:szCs w:val="24"/>
        </w:rPr>
        <w:t xml:space="preserve"> 2023 14.00 hs</w:t>
      </w:r>
      <w:r w:rsidR="00F132FB" w:rsidRPr="002F72D5">
        <w:rPr>
          <w:noProof/>
          <w:color w:val="0000CC"/>
          <w:sz w:val="24"/>
          <w:szCs w:val="24"/>
        </w:rPr>
        <w:t xml:space="preserve"> </w:t>
      </w:r>
    </w:p>
    <w:p w14:paraId="1FF8C5BE" w14:textId="5F322438" w:rsidR="00BB3570" w:rsidRPr="002B11BE" w:rsidRDefault="004E019B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45335612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720567A" w14:textId="05B3F7BC" w:rsidR="00752797" w:rsidRPr="007F03D6" w:rsidRDefault="003F1684" w:rsidP="007F03D6">
      <w:pPr>
        <w:pStyle w:val="Prrafodelista"/>
        <w:numPr>
          <w:ilvl w:val="0"/>
          <w:numId w:val="26"/>
        </w:numPr>
        <w:jc w:val="left"/>
        <w:rPr>
          <w:noProof/>
          <w:sz w:val="24"/>
          <w:szCs w:val="22"/>
        </w:rPr>
      </w:pPr>
      <w:r>
        <w:rPr>
          <w:noProof/>
          <w:sz w:val="24"/>
          <w:szCs w:val="22"/>
        </w:rPr>
        <w:t xml:space="preserve">Miércoles </w:t>
      </w:r>
      <w:r w:rsidR="00E309EA">
        <w:rPr>
          <w:noProof/>
          <w:sz w:val="24"/>
          <w:szCs w:val="22"/>
        </w:rPr>
        <w:t>20</w:t>
      </w:r>
      <w:r w:rsidR="00752797" w:rsidRPr="007F03D6">
        <w:rPr>
          <w:noProof/>
          <w:sz w:val="24"/>
          <w:szCs w:val="22"/>
        </w:rPr>
        <w:t>/0</w:t>
      </w:r>
      <w:r w:rsidR="00E309EA">
        <w:rPr>
          <w:noProof/>
          <w:sz w:val="24"/>
          <w:szCs w:val="22"/>
        </w:rPr>
        <w:t>9</w:t>
      </w:r>
      <w:r w:rsidR="00752797" w:rsidRPr="007F03D6">
        <w:rPr>
          <w:noProof/>
          <w:sz w:val="24"/>
          <w:szCs w:val="22"/>
        </w:rPr>
        <w:t>/2023 15:30 IXPs e ISPs</w:t>
      </w:r>
    </w:p>
    <w:p w14:paraId="1AA21CD2" w14:textId="29136322" w:rsidR="003F1684" w:rsidRPr="007F03D6" w:rsidRDefault="003F1684" w:rsidP="003F1684">
      <w:pPr>
        <w:pStyle w:val="Prrafodelista"/>
        <w:numPr>
          <w:ilvl w:val="0"/>
          <w:numId w:val="26"/>
        </w:numPr>
        <w:jc w:val="left"/>
        <w:rPr>
          <w:noProof/>
          <w:sz w:val="24"/>
          <w:szCs w:val="22"/>
        </w:rPr>
      </w:pPr>
      <w:r>
        <w:rPr>
          <w:noProof/>
          <w:sz w:val="24"/>
          <w:szCs w:val="22"/>
        </w:rPr>
        <w:t xml:space="preserve">Jueves </w:t>
      </w:r>
      <w:r w:rsidRPr="007F03D6">
        <w:rPr>
          <w:noProof/>
          <w:sz w:val="24"/>
          <w:szCs w:val="22"/>
        </w:rPr>
        <w:t>2</w:t>
      </w:r>
      <w:r w:rsidR="00E309EA">
        <w:rPr>
          <w:noProof/>
          <w:sz w:val="24"/>
          <w:szCs w:val="22"/>
        </w:rPr>
        <w:t>1</w:t>
      </w:r>
      <w:r w:rsidRPr="007F03D6">
        <w:rPr>
          <w:noProof/>
          <w:sz w:val="24"/>
          <w:szCs w:val="22"/>
        </w:rPr>
        <w:t>/0</w:t>
      </w:r>
      <w:r>
        <w:rPr>
          <w:noProof/>
          <w:sz w:val="24"/>
          <w:szCs w:val="22"/>
        </w:rPr>
        <w:t>8</w:t>
      </w:r>
      <w:r w:rsidRPr="007F03D6">
        <w:rPr>
          <w:noProof/>
          <w:sz w:val="24"/>
          <w:szCs w:val="22"/>
        </w:rPr>
        <w:t>/2023 15:00 hs HUB de Contenidos</w:t>
      </w:r>
    </w:p>
    <w:p w14:paraId="0D7E7D8A" w14:textId="453D28D6" w:rsidR="00752797" w:rsidRPr="002F72D5" w:rsidRDefault="003F1684" w:rsidP="002851A2">
      <w:pPr>
        <w:pStyle w:val="Prrafodelista"/>
        <w:numPr>
          <w:ilvl w:val="0"/>
          <w:numId w:val="26"/>
        </w:numPr>
        <w:jc w:val="left"/>
        <w:rPr>
          <w:noProof/>
          <w:sz w:val="24"/>
          <w:szCs w:val="22"/>
        </w:rPr>
      </w:pPr>
      <w:r>
        <w:rPr>
          <w:noProof/>
          <w:sz w:val="24"/>
          <w:szCs w:val="22"/>
        </w:rPr>
        <w:t xml:space="preserve">Jueves </w:t>
      </w:r>
      <w:r w:rsidR="00E309EA">
        <w:rPr>
          <w:noProof/>
          <w:sz w:val="24"/>
          <w:szCs w:val="22"/>
        </w:rPr>
        <w:t>28</w:t>
      </w:r>
      <w:r w:rsidR="00752797" w:rsidRPr="007F03D6">
        <w:rPr>
          <w:noProof/>
          <w:sz w:val="24"/>
          <w:szCs w:val="22"/>
        </w:rPr>
        <w:t>/0</w:t>
      </w:r>
      <w:r w:rsidR="00E309EA">
        <w:rPr>
          <w:noProof/>
          <w:sz w:val="24"/>
          <w:szCs w:val="22"/>
        </w:rPr>
        <w:t>9</w:t>
      </w:r>
      <w:r w:rsidR="00752797" w:rsidRPr="007F03D6">
        <w:rPr>
          <w:noProof/>
          <w:sz w:val="24"/>
          <w:szCs w:val="22"/>
        </w:rPr>
        <w:t>/2023 11:</w:t>
      </w:r>
      <w:r w:rsidR="002851A2">
        <w:rPr>
          <w:noProof/>
          <w:sz w:val="24"/>
          <w:szCs w:val="22"/>
        </w:rPr>
        <w:t>0</w:t>
      </w:r>
      <w:r w:rsidR="00752797" w:rsidRPr="007F03D6">
        <w:rPr>
          <w:noProof/>
          <w:sz w:val="24"/>
          <w:szCs w:val="22"/>
        </w:rPr>
        <w:t xml:space="preserve">0 hs </w:t>
      </w:r>
      <w:r w:rsidR="002851A2" w:rsidRPr="002851A2">
        <w:rPr>
          <w:noProof/>
          <w:color w:val="0000CC"/>
          <w:sz w:val="24"/>
          <w:szCs w:val="22"/>
        </w:rPr>
        <w:t>PRIMERA ASAMBLEA de la CÁMARA ARGENTINA DE IOT, presencial en CABASE, Suipacha 128, 3er Piso "F"</w:t>
      </w:r>
    </w:p>
    <w:p w14:paraId="6A76757F" w14:textId="77777777" w:rsidR="00E309EA" w:rsidRPr="00953807" w:rsidRDefault="00E309EA" w:rsidP="00E309EA">
      <w:pPr>
        <w:jc w:val="left"/>
        <w:rPr>
          <w:noProof/>
          <w:sz w:val="24"/>
          <w:szCs w:val="22"/>
        </w:rPr>
      </w:pPr>
      <w:r w:rsidRPr="00953807">
        <w:rPr>
          <w:noProof/>
          <w:sz w:val="24"/>
          <w:szCs w:val="22"/>
        </w:rPr>
        <w:t xml:space="preserve">La agenda de reuniones de </w:t>
      </w:r>
      <w:r>
        <w:rPr>
          <w:noProof/>
          <w:sz w:val="24"/>
          <w:szCs w:val="22"/>
        </w:rPr>
        <w:t xml:space="preserve">el Calendario de </w:t>
      </w:r>
      <w:r w:rsidRPr="00953807">
        <w:rPr>
          <w:noProof/>
          <w:sz w:val="24"/>
          <w:szCs w:val="22"/>
        </w:rPr>
        <w:t xml:space="preserve">CABASE en </w:t>
      </w:r>
      <w:hyperlink r:id="rId8" w:history="1"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www.</w:t>
        </w:r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c</w:t>
        </w:r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abase.org.ar/socios/</w:t>
        </w:r>
      </w:hyperlink>
      <w:r w:rsidRPr="00953807">
        <w:rPr>
          <w:noProof/>
          <w:sz w:val="24"/>
          <w:szCs w:val="22"/>
        </w:rPr>
        <w:t xml:space="preserve"> </w:t>
      </w:r>
    </w:p>
    <w:p w14:paraId="4BDB7D08" w14:textId="2E01B9F3" w:rsidR="00E309EA" w:rsidRPr="00E309EA" w:rsidRDefault="00E309EA" w:rsidP="002F72D5">
      <w:pPr>
        <w:rPr>
          <w:b/>
          <w:noProof/>
          <w:color w:val="0000CC"/>
          <w:sz w:val="24"/>
          <w:szCs w:val="22"/>
        </w:rPr>
      </w:pPr>
      <w:r w:rsidRPr="00E309EA">
        <w:rPr>
          <w:b/>
          <w:noProof/>
          <w:color w:val="0000CC"/>
          <w:sz w:val="24"/>
          <w:szCs w:val="22"/>
        </w:rPr>
        <w:t>09 y 10 /11/2023 ENCUENTRO NACIONAL DE TÉCNICOS en el Partido de la Costa, Incluye visita a los lugares donde entran las Fibras Transoceánicas. Se invita a los socios a aportar temas y/o sugerencias sobre el contenido del evento. SE AGRADECE DIFUSIÓN Y RESERVA DE FECHA.</w:t>
      </w:r>
    </w:p>
    <w:p w14:paraId="0144B6C5" w14:textId="15DAFF34" w:rsidR="002872D6" w:rsidRDefault="002872D6" w:rsidP="008D37F7">
      <w:pPr>
        <w:jc w:val="center"/>
        <w:rPr>
          <w:noProof/>
          <w:sz w:val="24"/>
          <w:szCs w:val="22"/>
        </w:rPr>
      </w:pPr>
      <w:r>
        <w:rPr>
          <w:noProof/>
          <w:sz w:val="24"/>
          <w:szCs w:val="22"/>
        </w:rPr>
        <w:t>-----------------------------------</w:t>
      </w:r>
    </w:p>
    <w:sectPr w:rsidR="002872D6" w:rsidSect="002B11BE">
      <w:headerReference w:type="default" r:id="rId9"/>
      <w:footerReference w:type="default" r:id="rId10"/>
      <w:pgSz w:w="11906" w:h="16838"/>
      <w:pgMar w:top="1702" w:right="707" w:bottom="113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65DA7" w14:textId="77777777" w:rsidR="00BE7BEF" w:rsidRDefault="00BE7BEF" w:rsidP="00FF4E2F">
      <w:pPr>
        <w:spacing w:before="0"/>
      </w:pPr>
      <w:r>
        <w:separator/>
      </w:r>
    </w:p>
  </w:endnote>
  <w:endnote w:type="continuationSeparator" w:id="0">
    <w:p w14:paraId="4AC72A23" w14:textId="77777777" w:rsidR="00BE7BEF" w:rsidRDefault="00BE7BEF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2F72D5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2F72D5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8270E" w14:textId="77777777" w:rsidR="00BE7BEF" w:rsidRDefault="00BE7BEF" w:rsidP="00FF4E2F">
      <w:pPr>
        <w:spacing w:before="0"/>
      </w:pPr>
      <w:r>
        <w:separator/>
      </w:r>
    </w:p>
  </w:footnote>
  <w:footnote w:type="continuationSeparator" w:id="0">
    <w:p w14:paraId="3624F05C" w14:textId="77777777" w:rsidR="00BE7BEF" w:rsidRDefault="00BE7BEF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6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0"/>
  </w:num>
  <w:num w:numId="10">
    <w:abstractNumId w:val="11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"/>
  </w:num>
  <w:num w:numId="16">
    <w:abstractNumId w:val="0"/>
  </w:num>
  <w:num w:numId="17">
    <w:abstractNumId w:val="11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</w:num>
  <w:num w:numId="22">
    <w:abstractNumId w:val="9"/>
  </w:num>
  <w:num w:numId="23">
    <w:abstractNumId w:val="17"/>
  </w:num>
  <w:num w:numId="24">
    <w:abstractNumId w:val="14"/>
  </w:num>
  <w:num w:numId="25">
    <w:abstractNumId w:val="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3A56"/>
    <w:rsid w:val="00735AD1"/>
    <w:rsid w:val="00737234"/>
    <w:rsid w:val="0074102E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1E"/>
    <w:rsid w:val="00ED48BB"/>
    <w:rsid w:val="00ED6D75"/>
    <w:rsid w:val="00EE3E7F"/>
    <w:rsid w:val="00EE4661"/>
    <w:rsid w:val="00EE58FE"/>
    <w:rsid w:val="00EE6396"/>
    <w:rsid w:val="00EE6778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22C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2804-203D-45D0-B178-83BA7A7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3</cp:revision>
  <dcterms:created xsi:type="dcterms:W3CDTF">2023-09-11T17:08:00Z</dcterms:created>
  <dcterms:modified xsi:type="dcterms:W3CDTF">2023-09-11T17:42:00Z</dcterms:modified>
</cp:coreProperties>
</file>